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325" w:rsidRPr="00A87260" w:rsidRDefault="00D16325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A87260" w:rsidRPr="00A87260" w:rsidRDefault="00A87260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jc w:val="center"/>
        <w:rPr>
          <w:rFonts w:ascii="Times New Roman" w:hAnsi="Times New Roman" w:cs="Times New Roman"/>
        </w:rPr>
      </w:pPr>
      <w:r w:rsidRPr="00A87260">
        <w:rPr>
          <w:rFonts w:ascii="Times New Roman" w:hAnsi="Times New Roman" w:cs="Times New Roman"/>
        </w:rPr>
        <w:t>Matrix 4 (Chapters 10-12).</w:t>
      </w:r>
    </w:p>
    <w:p w:rsidR="006C233C" w:rsidRPr="00A87260" w:rsidRDefault="006C233C" w:rsidP="00A87260">
      <w:pPr>
        <w:spacing w:line="480" w:lineRule="auto"/>
        <w:jc w:val="center"/>
        <w:rPr>
          <w:rFonts w:ascii="Times New Roman" w:hAnsi="Times New Roman" w:cs="Times New Roman"/>
        </w:rPr>
      </w:pPr>
      <w:r w:rsidRPr="00A87260">
        <w:rPr>
          <w:rFonts w:ascii="Times New Roman" w:hAnsi="Times New Roman" w:cs="Times New Roman"/>
        </w:rPr>
        <w:t>Name.</w:t>
      </w:r>
    </w:p>
    <w:p w:rsidR="006C233C" w:rsidRPr="00A87260" w:rsidRDefault="006C233C" w:rsidP="00A87260">
      <w:pPr>
        <w:spacing w:line="480" w:lineRule="auto"/>
        <w:jc w:val="center"/>
        <w:rPr>
          <w:rFonts w:ascii="Times New Roman" w:hAnsi="Times New Roman" w:cs="Times New Roman"/>
        </w:rPr>
      </w:pPr>
      <w:r w:rsidRPr="00A87260">
        <w:rPr>
          <w:rFonts w:ascii="Times New Roman" w:hAnsi="Times New Roman" w:cs="Times New Roman"/>
        </w:rPr>
        <w:t>Institution.</w:t>
      </w:r>
    </w:p>
    <w:p w:rsidR="006C233C" w:rsidRPr="00A87260" w:rsidRDefault="006C233C" w:rsidP="00A87260">
      <w:pPr>
        <w:spacing w:line="480" w:lineRule="auto"/>
        <w:jc w:val="center"/>
        <w:rPr>
          <w:rFonts w:ascii="Times New Roman" w:hAnsi="Times New Roman" w:cs="Times New Roman"/>
        </w:rPr>
      </w:pPr>
      <w:r w:rsidRPr="00A87260">
        <w:rPr>
          <w:rFonts w:ascii="Times New Roman" w:hAnsi="Times New Roman" w:cs="Times New Roman"/>
        </w:rPr>
        <w:t>Date.</w:t>
      </w: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A87260" w:rsidRDefault="00A87260" w:rsidP="00A87260">
      <w:pPr>
        <w:spacing w:line="480" w:lineRule="auto"/>
        <w:jc w:val="center"/>
        <w:rPr>
          <w:rFonts w:ascii="Times New Roman" w:hAnsi="Times New Roman" w:cs="Times New Roman"/>
        </w:rPr>
      </w:pPr>
    </w:p>
    <w:p w:rsidR="00A87260" w:rsidRPr="00A87260" w:rsidRDefault="00A87260" w:rsidP="00A87260">
      <w:pPr>
        <w:spacing w:line="480" w:lineRule="auto"/>
        <w:jc w:val="center"/>
        <w:rPr>
          <w:rFonts w:ascii="Times New Roman" w:hAnsi="Times New Roman" w:cs="Times New Roman"/>
        </w:rPr>
      </w:pPr>
      <w:r w:rsidRPr="00A87260">
        <w:rPr>
          <w:rFonts w:ascii="Times New Roman" w:hAnsi="Times New Roman" w:cs="Times New Roman"/>
        </w:rPr>
        <w:lastRenderedPageBreak/>
        <w:t>Matrix 4 (Chapters 10-12).</w:t>
      </w:r>
    </w:p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:rsidR="006C233C" w:rsidRPr="00A87260" w:rsidTr="008858F7">
        <w:tc>
          <w:tcPr>
            <w:tcW w:w="9350" w:type="dxa"/>
            <w:gridSpan w:val="2"/>
          </w:tcPr>
          <w:p w:rsidR="006C233C" w:rsidRPr="00A87260" w:rsidRDefault="006C233C" w:rsidP="00A8726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7260">
              <w:rPr>
                <w:rFonts w:ascii="Times New Roman" w:hAnsi="Times New Roman" w:cs="Times New Roman"/>
                <w:b/>
              </w:rPr>
              <w:t xml:space="preserve">PHYSIOLOGICAL Responses to Music Include: </w:t>
            </w:r>
          </w:p>
        </w:tc>
      </w:tr>
      <w:tr w:rsidR="006C233C" w:rsidRPr="00A87260" w:rsidTr="008858F7">
        <w:tc>
          <w:tcPr>
            <w:tcW w:w="9350" w:type="dxa"/>
            <w:gridSpan w:val="2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t>The p</w:t>
            </w:r>
            <w:r w:rsidR="00A87260" w:rsidRPr="00A87260">
              <w:rPr>
                <w:rFonts w:ascii="Times New Roman" w:hAnsi="Times New Roman" w:cs="Times New Roman"/>
              </w:rPr>
              <w:t xml:space="preserve">hysiological responses to music involve </w:t>
            </w:r>
            <w:r w:rsidRPr="00A87260">
              <w:rPr>
                <w:rFonts w:ascii="Times New Roman" w:hAnsi="Times New Roman" w:cs="Times New Roman"/>
              </w:rPr>
              <w:t>the internal bodily processes which depict musical features. These internal bodily processes include</w:t>
            </w:r>
            <w:r w:rsidR="00A87260" w:rsidRPr="00A87260">
              <w:rPr>
                <w:rFonts w:ascii="Times New Roman" w:hAnsi="Times New Roman" w:cs="Times New Roman"/>
              </w:rPr>
              <w:t>;</w:t>
            </w:r>
            <w:r w:rsidRPr="00A87260">
              <w:rPr>
                <w:rFonts w:ascii="Times New Roman" w:hAnsi="Times New Roman" w:cs="Times New Roman"/>
              </w:rPr>
              <w:t xml:space="preserve"> blood pressure, biochemical responses, skin conductivity, pulse rate, and the skin conductance responses and body temperature (Hodges &amp; Sebald, 2011). They also include miscellaneous responses such as blood oxygen, blood volume, as</w:t>
            </w:r>
            <w:r w:rsidR="00A87260" w:rsidRPr="00A87260">
              <w:rPr>
                <w:rFonts w:ascii="Times New Roman" w:hAnsi="Times New Roman" w:cs="Times New Roman"/>
              </w:rPr>
              <w:t xml:space="preserve"> well as gastric mobility. A</w:t>
            </w:r>
            <w:r w:rsidRPr="00A87260">
              <w:rPr>
                <w:rFonts w:ascii="Times New Roman" w:hAnsi="Times New Roman" w:cs="Times New Roman"/>
              </w:rPr>
              <w:t xml:space="preserve">s observed in chapter ten, many of these physiological responses are invisible and </w:t>
            </w:r>
            <w:r w:rsidR="00A87260" w:rsidRPr="00A87260">
              <w:rPr>
                <w:rFonts w:ascii="Times New Roman" w:hAnsi="Times New Roman" w:cs="Times New Roman"/>
              </w:rPr>
              <w:t>require</w:t>
            </w:r>
            <w:r w:rsidRPr="00A87260">
              <w:rPr>
                <w:rFonts w:ascii="Times New Roman" w:hAnsi="Times New Roman" w:cs="Times New Roman"/>
              </w:rPr>
              <w:t xml:space="preserve"> acute monitoring for detection.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6C233C" w:rsidRPr="00A87260" w:rsidTr="008858F7">
        <w:trPr>
          <w:trHeight w:val="332"/>
        </w:trPr>
        <w:tc>
          <w:tcPr>
            <w:tcW w:w="9350" w:type="dxa"/>
            <w:gridSpan w:val="2"/>
          </w:tcPr>
          <w:p w:rsidR="006C233C" w:rsidRPr="00A87260" w:rsidRDefault="006C233C" w:rsidP="00A87260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  <w:b/>
              </w:rPr>
              <w:t>PHYSICAL Responses to Music Include:</w:t>
            </w:r>
          </w:p>
        </w:tc>
      </w:tr>
      <w:tr w:rsidR="006C233C" w:rsidRPr="00A87260" w:rsidTr="008858F7">
        <w:tc>
          <w:tcPr>
            <w:tcW w:w="9350" w:type="dxa"/>
            <w:gridSpan w:val="2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t>Physical responses refer to the external, readily observable and the reflexive motor movement processes concerning music (Hodges &amp; Sebald, 2011). These include</w:t>
            </w:r>
            <w:r w:rsidR="00A87260" w:rsidRPr="00A87260">
              <w:rPr>
                <w:rFonts w:ascii="Times New Roman" w:hAnsi="Times New Roman" w:cs="Times New Roman"/>
              </w:rPr>
              <w:t>;</w:t>
            </w:r>
            <w:r w:rsidRPr="00A87260">
              <w:rPr>
                <w:rFonts w:ascii="Times New Roman" w:hAnsi="Times New Roman" w:cs="Times New Roman"/>
              </w:rPr>
              <w:t xml:space="preserve"> foot tapping, facial gestures, body swaying and head nodding. As argued, these responses occur naturally even w</w:t>
            </w:r>
            <w:r w:rsidR="00A87260" w:rsidRPr="00A87260">
              <w:rPr>
                <w:rFonts w:ascii="Times New Roman" w:hAnsi="Times New Roman" w:cs="Times New Roman"/>
              </w:rPr>
              <w:t>ithout specific training and</w:t>
            </w:r>
            <w:r w:rsidRPr="00A87260">
              <w:rPr>
                <w:rFonts w:ascii="Times New Roman" w:hAnsi="Times New Roman" w:cs="Times New Roman"/>
              </w:rPr>
              <w:t xml:space="preserve"> they are generally readily observable. In varied settings, physical responses may appear to be open to objective measurement while other times they can be monitored via observation. 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6C233C" w:rsidRPr="00A87260" w:rsidTr="008858F7">
        <w:tc>
          <w:tcPr>
            <w:tcW w:w="9350" w:type="dxa"/>
            <w:gridSpan w:val="2"/>
          </w:tcPr>
          <w:p w:rsidR="006C233C" w:rsidRPr="00A87260" w:rsidRDefault="006C233C" w:rsidP="00A8726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7260">
              <w:rPr>
                <w:rFonts w:ascii="Times New Roman" w:hAnsi="Times New Roman" w:cs="Times New Roman"/>
                <w:b/>
              </w:rPr>
              <w:t>DEFINE the following aspects of Musical Emotions</w:t>
            </w:r>
          </w:p>
        </w:tc>
      </w:tr>
      <w:tr w:rsidR="006C233C" w:rsidRPr="00A87260" w:rsidTr="008858F7">
        <w:tc>
          <w:tcPr>
            <w:tcW w:w="4675" w:type="dxa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  <w:i/>
              </w:rPr>
              <w:t xml:space="preserve">Cognitivist position  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lastRenderedPageBreak/>
              <w:t xml:space="preserve"> They perceive that an emotion can be expressed in music without necessarily experiencing that emotion (Hodges &amp; Sebald, 2011). The listener may lack specific emotional reactions to a piece of music. Cognitivists focus on the perception of music emotions. 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5" w:type="dxa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  <w:i/>
              </w:rPr>
              <w:lastRenderedPageBreak/>
              <w:t xml:space="preserve">Emotivist position  </w:t>
            </w:r>
          </w:p>
          <w:p w:rsidR="006C233C" w:rsidRPr="00A87260" w:rsidRDefault="00A87260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</w:rPr>
              <w:lastRenderedPageBreak/>
              <w:t xml:space="preserve">They argue </w:t>
            </w:r>
            <w:r w:rsidR="006C233C" w:rsidRPr="00A87260">
              <w:rPr>
                <w:rFonts w:ascii="Times New Roman" w:hAnsi="Times New Roman" w:cs="Times New Roman"/>
              </w:rPr>
              <w:t>that listeners can experience certain emotions which are induced or inculcate in the music (Hodges &amp; Sebald, 2011). Emotivists focus on induction of music emotions.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6C233C" w:rsidRPr="00A87260" w:rsidTr="008858F7">
        <w:trPr>
          <w:trHeight w:val="1684"/>
        </w:trPr>
        <w:tc>
          <w:tcPr>
            <w:tcW w:w="4675" w:type="dxa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  <w:i/>
              </w:rPr>
              <w:lastRenderedPageBreak/>
              <w:t xml:space="preserve">The role of expectations 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t>Expectations play a role by moderating what we experience (Hodges &amp; Sebald, 2011). It helps in preparation for giving em</w:t>
            </w:r>
            <w:r w:rsidR="00A87260" w:rsidRPr="00A87260">
              <w:rPr>
                <w:rFonts w:ascii="Times New Roman" w:hAnsi="Times New Roman" w:cs="Times New Roman"/>
              </w:rPr>
              <w:t xml:space="preserve">otional responses which include; </w:t>
            </w:r>
            <w:r w:rsidRPr="00A87260">
              <w:rPr>
                <w:rFonts w:ascii="Times New Roman" w:hAnsi="Times New Roman" w:cs="Times New Roman"/>
              </w:rPr>
              <w:t>imagination responses, reaction responses, tension responses and appraisal responses.</w:t>
            </w:r>
          </w:p>
        </w:tc>
        <w:tc>
          <w:tcPr>
            <w:tcW w:w="4675" w:type="dxa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  <w:i/>
              </w:rPr>
              <w:t>Kate Hevner (1936)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t>She pioneered music emotional research by developing an adjective checklist which includes dreamy, soaring and mournful among others (Hodges &amp; Sebald, 2011). She grouped these adjectives into eight groups where listeners could a</w:t>
            </w:r>
            <w:r w:rsidR="00A87260" w:rsidRPr="00A87260">
              <w:rPr>
                <w:rFonts w:ascii="Times New Roman" w:hAnsi="Times New Roman" w:cs="Times New Roman"/>
              </w:rPr>
              <w:t xml:space="preserve">ssociate with adjectives </w:t>
            </w:r>
            <w:r w:rsidRPr="00A87260">
              <w:rPr>
                <w:rFonts w:ascii="Times New Roman" w:hAnsi="Times New Roman" w:cs="Times New Roman"/>
              </w:rPr>
              <w:t>they found appropriate for describing the music they wanted. In additio</w:t>
            </w:r>
            <w:r w:rsidR="00A87260" w:rsidRPr="00A87260">
              <w:rPr>
                <w:rFonts w:ascii="Times New Roman" w:hAnsi="Times New Roman" w:cs="Times New Roman"/>
              </w:rPr>
              <w:t xml:space="preserve">n to this, Hevner established </w:t>
            </w:r>
            <w:r w:rsidRPr="00A87260">
              <w:rPr>
                <w:rFonts w:ascii="Times New Roman" w:hAnsi="Times New Roman" w:cs="Times New Roman"/>
              </w:rPr>
              <w:t>relatively consistent as well as uniform patterns of</w:t>
            </w:r>
            <w:r w:rsidR="00A87260" w:rsidRPr="00A87260">
              <w:rPr>
                <w:rFonts w:ascii="Times New Roman" w:hAnsi="Times New Roman" w:cs="Times New Roman"/>
              </w:rPr>
              <w:t xml:space="preserve"> music</w:t>
            </w:r>
            <w:r w:rsidRPr="00A87260">
              <w:rPr>
                <w:rFonts w:ascii="Times New Roman" w:hAnsi="Times New Roman" w:cs="Times New Roman"/>
              </w:rPr>
              <w:t xml:space="preserve"> response.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</w:tr>
      <w:tr w:rsidR="006C233C" w:rsidRPr="00A87260" w:rsidTr="008858F7">
        <w:trPr>
          <w:trHeight w:val="359"/>
        </w:trPr>
        <w:tc>
          <w:tcPr>
            <w:tcW w:w="9350" w:type="dxa"/>
            <w:gridSpan w:val="2"/>
          </w:tcPr>
          <w:p w:rsidR="006C233C" w:rsidRPr="00A87260" w:rsidRDefault="006C233C" w:rsidP="00A8726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87260">
              <w:rPr>
                <w:rFonts w:ascii="Times New Roman" w:hAnsi="Times New Roman" w:cs="Times New Roman"/>
                <w:b/>
              </w:rPr>
              <w:lastRenderedPageBreak/>
              <w:t>WHAT DOES THE RESEARCH TELL US?</w:t>
            </w:r>
          </w:p>
        </w:tc>
      </w:tr>
      <w:tr w:rsidR="006C233C" w:rsidRPr="00A87260" w:rsidTr="008858F7">
        <w:trPr>
          <w:trHeight w:val="613"/>
        </w:trPr>
        <w:tc>
          <w:tcPr>
            <w:tcW w:w="4675" w:type="dxa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  <w:i/>
              </w:rPr>
              <w:t>Preferences for musical instruments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t>There is gender bias for certain musical instruments (Hodges &amp; Sebald, 2011). It also asserts that preferences for musical instruments depend on gender, personality, short-term and long-term training as well as repetition.  .</w:t>
            </w:r>
          </w:p>
        </w:tc>
        <w:tc>
          <w:tcPr>
            <w:tcW w:w="4675" w:type="dxa"/>
          </w:tcPr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  <w:r w:rsidRPr="00A87260">
              <w:rPr>
                <w:rFonts w:ascii="Times New Roman" w:hAnsi="Times New Roman" w:cs="Times New Roman"/>
                <w:i/>
              </w:rPr>
              <w:t xml:space="preserve">Preferences for musical genres 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A87260">
              <w:rPr>
                <w:rFonts w:ascii="Times New Roman" w:hAnsi="Times New Roman" w:cs="Times New Roman"/>
              </w:rPr>
              <w:t>Listeners can come up with certain judgments within a fraction of time; however, musical preferences are based on longer exposures (Hodges &amp; Sebald, 2011).</w:t>
            </w: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  <w:p w:rsidR="006C233C" w:rsidRPr="00A87260" w:rsidRDefault="006C233C" w:rsidP="00A87260">
            <w:pPr>
              <w:spacing w:line="480" w:lineRule="auto"/>
              <w:rPr>
                <w:rFonts w:ascii="Times New Roman" w:hAnsi="Times New Roman" w:cs="Times New Roman"/>
                <w:i/>
              </w:rPr>
            </w:pPr>
          </w:p>
        </w:tc>
      </w:tr>
    </w:tbl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</w:p>
    <w:p w:rsidR="006C233C" w:rsidRDefault="006C233C" w:rsidP="00A87260">
      <w:pPr>
        <w:spacing w:line="480" w:lineRule="auto"/>
        <w:rPr>
          <w:rFonts w:ascii="Times New Roman" w:hAnsi="Times New Roman" w:cs="Times New Roman"/>
        </w:rPr>
      </w:pPr>
    </w:p>
    <w:p w:rsidR="00A87260" w:rsidRPr="00A87260" w:rsidRDefault="00A87260" w:rsidP="00A87260">
      <w:pPr>
        <w:spacing w:line="480" w:lineRule="auto"/>
        <w:rPr>
          <w:rFonts w:ascii="Times New Roman" w:hAnsi="Times New Roman" w:cs="Times New Roman"/>
        </w:rPr>
      </w:pPr>
    </w:p>
    <w:p w:rsidR="006C233C" w:rsidRPr="00A87260" w:rsidRDefault="006C233C" w:rsidP="00A87260">
      <w:pPr>
        <w:spacing w:line="480" w:lineRule="auto"/>
        <w:ind w:left="1008" w:hanging="1008"/>
        <w:jc w:val="center"/>
        <w:rPr>
          <w:rFonts w:ascii="Times New Roman" w:hAnsi="Times New Roman" w:cs="Times New Roman"/>
        </w:rPr>
      </w:pPr>
      <w:r w:rsidRPr="00A87260">
        <w:rPr>
          <w:rFonts w:ascii="Times New Roman" w:hAnsi="Times New Roman" w:cs="Times New Roman"/>
        </w:rPr>
        <w:lastRenderedPageBreak/>
        <w:t>Reference.</w:t>
      </w:r>
    </w:p>
    <w:p w:rsidR="006C233C" w:rsidRPr="004148B4" w:rsidRDefault="006C233C" w:rsidP="00A87260">
      <w:pPr>
        <w:spacing w:line="480" w:lineRule="auto"/>
        <w:ind w:left="720" w:hanging="720"/>
        <w:rPr>
          <w:rFonts w:ascii="Times New Roman" w:hAnsi="Times New Roman" w:cs="Times New Roman"/>
          <w:i/>
        </w:rPr>
      </w:pPr>
      <w:bookmarkStart w:id="0" w:name="_GoBack"/>
      <w:r w:rsidRPr="00A87260">
        <w:rPr>
          <w:rFonts w:ascii="Times New Roman" w:hAnsi="Times New Roman" w:cs="Times New Roman"/>
        </w:rPr>
        <w:t xml:space="preserve">Hodges, D. A., &amp;amp; Sebald, D. C. (2011). </w:t>
      </w:r>
      <w:r w:rsidRPr="004148B4">
        <w:rPr>
          <w:rFonts w:ascii="Times New Roman" w:hAnsi="Times New Roman" w:cs="Times New Roman"/>
          <w:i/>
        </w:rPr>
        <w:t>Music in the human experience: An introduction to</w:t>
      </w:r>
    </w:p>
    <w:p w:rsidR="006C233C" w:rsidRPr="00A87260" w:rsidRDefault="00A87260" w:rsidP="00A87260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4148B4">
        <w:rPr>
          <w:rFonts w:ascii="Times New Roman" w:hAnsi="Times New Roman" w:cs="Times New Roman"/>
          <w:i/>
        </w:rPr>
        <w:t xml:space="preserve">          </w:t>
      </w:r>
      <w:r w:rsidR="006C233C" w:rsidRPr="004148B4">
        <w:rPr>
          <w:rFonts w:ascii="Times New Roman" w:hAnsi="Times New Roman" w:cs="Times New Roman"/>
          <w:i/>
        </w:rPr>
        <w:t>music psychology</w:t>
      </w:r>
      <w:r w:rsidR="006C233C" w:rsidRPr="00A87260">
        <w:rPr>
          <w:rFonts w:ascii="Times New Roman" w:hAnsi="Times New Roman" w:cs="Times New Roman"/>
        </w:rPr>
        <w:t>. Routledge.</w:t>
      </w:r>
    </w:p>
    <w:bookmarkEnd w:id="0"/>
    <w:p w:rsidR="006C233C" w:rsidRPr="00A87260" w:rsidRDefault="006C233C" w:rsidP="00A87260">
      <w:pPr>
        <w:spacing w:line="480" w:lineRule="auto"/>
        <w:rPr>
          <w:rFonts w:ascii="Times New Roman" w:hAnsi="Times New Roman" w:cs="Times New Roman"/>
        </w:rPr>
      </w:pPr>
    </w:p>
    <w:sectPr w:rsidR="006C233C" w:rsidRPr="00A87260" w:rsidSect="006C233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B4A" w:rsidRDefault="00C33B4A" w:rsidP="008A2D30">
      <w:r>
        <w:separator/>
      </w:r>
    </w:p>
  </w:endnote>
  <w:endnote w:type="continuationSeparator" w:id="1">
    <w:p w:rsidR="00C33B4A" w:rsidRDefault="00C33B4A" w:rsidP="008A2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B4A" w:rsidRDefault="00C33B4A" w:rsidP="008A2D30">
      <w:r>
        <w:separator/>
      </w:r>
    </w:p>
  </w:footnote>
  <w:footnote w:type="continuationSeparator" w:id="1">
    <w:p w:rsidR="00C33B4A" w:rsidRDefault="00C33B4A" w:rsidP="008A2D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C" w:rsidRPr="006C233C" w:rsidRDefault="006C233C">
    <w:pPr>
      <w:pStyle w:val="Header"/>
      <w:rPr>
        <w:rFonts w:ascii="Times New Roman" w:hAnsi="Times New Roman" w:cs="Times New Roman"/>
      </w:rPr>
    </w:pPr>
    <w:r w:rsidRPr="006C233C">
      <w:rPr>
        <w:rFonts w:ascii="Times New Roman" w:hAnsi="Times New Roman" w:cs="Times New Roman"/>
      </w:rPr>
      <w:t>MATRIX 4 (CHAPTERS 10-12).</w:t>
    </w:r>
    <w:r w:rsidRPr="006C233C">
      <w:rPr>
        <w:rFonts w:ascii="Times New Roman" w:hAnsi="Times New Roman" w:cs="Times New Roman"/>
      </w:rPr>
      <w:tab/>
    </w:r>
    <w:r w:rsidRPr="006C233C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19184726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5514B" w:rsidRPr="006C233C">
          <w:rPr>
            <w:rFonts w:ascii="Times New Roman" w:hAnsi="Times New Roman" w:cs="Times New Roman"/>
          </w:rPr>
          <w:fldChar w:fldCharType="begin"/>
        </w:r>
        <w:r w:rsidRPr="006C233C">
          <w:rPr>
            <w:rFonts w:ascii="Times New Roman" w:hAnsi="Times New Roman" w:cs="Times New Roman"/>
          </w:rPr>
          <w:instrText xml:space="preserve"> PAGE   \* MERGEFORMAT </w:instrText>
        </w:r>
        <w:r w:rsidR="0015514B" w:rsidRPr="006C233C">
          <w:rPr>
            <w:rFonts w:ascii="Times New Roman" w:hAnsi="Times New Roman" w:cs="Times New Roman"/>
          </w:rPr>
          <w:fldChar w:fldCharType="separate"/>
        </w:r>
        <w:r w:rsidR="004148B4">
          <w:rPr>
            <w:rFonts w:ascii="Times New Roman" w:hAnsi="Times New Roman" w:cs="Times New Roman"/>
            <w:noProof/>
          </w:rPr>
          <w:t>5</w:t>
        </w:r>
        <w:r w:rsidR="0015514B" w:rsidRPr="006C233C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8A2D30" w:rsidRPr="006C233C" w:rsidRDefault="008A2D30" w:rsidP="006C233C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33C" w:rsidRDefault="006C233C">
    <w:pPr>
      <w:pStyle w:val="Header"/>
    </w:pPr>
    <w:r>
      <w:rPr>
        <w:rFonts w:ascii="Times New Roman" w:hAnsi="Times New Roman" w:cs="Times New Roman"/>
      </w:rPr>
      <w:t xml:space="preserve">Running Head: </w:t>
    </w:r>
    <w:r w:rsidRPr="006C233C">
      <w:rPr>
        <w:rFonts w:ascii="Times New Roman" w:hAnsi="Times New Roman" w:cs="Times New Roman"/>
      </w:rPr>
      <w:t>MATRIX 4 (CHAPTERS 10-12)</w:t>
    </w:r>
    <w:r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ab/>
    </w:r>
    <w:sdt>
      <w:sdtPr>
        <w:id w:val="11289767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5514B">
          <w:fldChar w:fldCharType="begin"/>
        </w:r>
        <w:r>
          <w:instrText xml:space="preserve"> PAGE   \* MERGEFORMAT </w:instrText>
        </w:r>
        <w:r w:rsidR="0015514B">
          <w:fldChar w:fldCharType="separate"/>
        </w:r>
        <w:r w:rsidR="004148B4">
          <w:rPr>
            <w:noProof/>
          </w:rPr>
          <w:t>1</w:t>
        </w:r>
        <w:r w:rsidR="0015514B">
          <w:rPr>
            <w:noProof/>
          </w:rPr>
          <w:fldChar w:fldCharType="end"/>
        </w:r>
      </w:sdtContent>
    </w:sdt>
  </w:p>
  <w:p w:rsidR="00D3740F" w:rsidRDefault="00D3740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2D30"/>
    <w:rsid w:val="00003ED6"/>
    <w:rsid w:val="000B02AA"/>
    <w:rsid w:val="000E5D01"/>
    <w:rsid w:val="000F2D2F"/>
    <w:rsid w:val="00126673"/>
    <w:rsid w:val="0015514B"/>
    <w:rsid w:val="00220752"/>
    <w:rsid w:val="00234B46"/>
    <w:rsid w:val="00246DD9"/>
    <w:rsid w:val="002E3774"/>
    <w:rsid w:val="003942F6"/>
    <w:rsid w:val="003B527A"/>
    <w:rsid w:val="004148B4"/>
    <w:rsid w:val="004A5508"/>
    <w:rsid w:val="004C5660"/>
    <w:rsid w:val="004D4773"/>
    <w:rsid w:val="004F3B35"/>
    <w:rsid w:val="004F3F89"/>
    <w:rsid w:val="00522891"/>
    <w:rsid w:val="00640777"/>
    <w:rsid w:val="00673D20"/>
    <w:rsid w:val="00676745"/>
    <w:rsid w:val="006C233C"/>
    <w:rsid w:val="00752A3A"/>
    <w:rsid w:val="007D5BFE"/>
    <w:rsid w:val="007F1F49"/>
    <w:rsid w:val="007F4D21"/>
    <w:rsid w:val="00817314"/>
    <w:rsid w:val="008A2D30"/>
    <w:rsid w:val="00966FE5"/>
    <w:rsid w:val="009A1128"/>
    <w:rsid w:val="00A87260"/>
    <w:rsid w:val="00AD24D7"/>
    <w:rsid w:val="00B70F96"/>
    <w:rsid w:val="00B710A6"/>
    <w:rsid w:val="00B823B8"/>
    <w:rsid w:val="00C2292B"/>
    <w:rsid w:val="00C308E5"/>
    <w:rsid w:val="00C33B4A"/>
    <w:rsid w:val="00C804D8"/>
    <w:rsid w:val="00CB0C51"/>
    <w:rsid w:val="00D11425"/>
    <w:rsid w:val="00D16325"/>
    <w:rsid w:val="00D3740F"/>
    <w:rsid w:val="00D94D78"/>
    <w:rsid w:val="00E175A5"/>
    <w:rsid w:val="00ED27D7"/>
    <w:rsid w:val="00ED2EAD"/>
    <w:rsid w:val="00F6165A"/>
    <w:rsid w:val="00FA4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D2F"/>
  </w:style>
  <w:style w:type="paragraph" w:styleId="Heading1">
    <w:name w:val="heading 1"/>
    <w:basedOn w:val="Normal"/>
    <w:next w:val="Normal"/>
    <w:link w:val="Heading1Char"/>
    <w:uiPriority w:val="9"/>
    <w:qFormat/>
    <w:rsid w:val="006407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D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D30"/>
  </w:style>
  <w:style w:type="paragraph" w:styleId="Footer">
    <w:name w:val="footer"/>
    <w:basedOn w:val="Normal"/>
    <w:link w:val="FooterChar"/>
    <w:uiPriority w:val="99"/>
    <w:unhideWhenUsed/>
    <w:rsid w:val="008A2D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D30"/>
  </w:style>
  <w:style w:type="table" w:styleId="TableGrid">
    <w:name w:val="Table Grid"/>
    <w:basedOn w:val="TableNormal"/>
    <w:uiPriority w:val="39"/>
    <w:rsid w:val="00966F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40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6407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Wlodarczyk</dc:creator>
  <cp:lastModifiedBy>ADM</cp:lastModifiedBy>
  <cp:revision>3</cp:revision>
  <dcterms:created xsi:type="dcterms:W3CDTF">2018-06-30T14:47:00Z</dcterms:created>
  <dcterms:modified xsi:type="dcterms:W3CDTF">2018-06-30T15:00:00Z</dcterms:modified>
</cp:coreProperties>
</file>